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</w:t>
      </w:r>
      <w:r w:rsidR="00D121EA">
        <w:rPr>
          <w:b/>
          <w:sz w:val="28"/>
          <w:szCs w:val="28"/>
          <w:lang w:eastAsia="en-US"/>
        </w:rPr>
        <w:t>3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D121EA">
        <w:rPr>
          <w:b/>
          <w:sz w:val="28"/>
          <w:szCs w:val="28"/>
          <w:lang w:val="en-US" w:eastAsia="en-US"/>
        </w:rPr>
        <w:t>I</w:t>
      </w:r>
      <w:r w:rsidR="0031065D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14596C">
        <w:rPr>
          <w:b/>
          <w:sz w:val="28"/>
          <w:szCs w:val="28"/>
          <w:lang w:eastAsia="en-US"/>
        </w:rPr>
        <w:t>1</w:t>
      </w:r>
      <w:r w:rsidR="00AF3FBC">
        <w:rPr>
          <w:b/>
          <w:sz w:val="28"/>
          <w:szCs w:val="28"/>
          <w:lang w:eastAsia="en-US"/>
        </w:rPr>
        <w:t>9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8E36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 xml:space="preserve">  муниципального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C24D3">
              <w:rPr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культуры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и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досуга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>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     в      области       искусства      и     организация     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E6409A" w:rsidP="00D121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21E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D121EA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7571A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D121EA" w:rsidRDefault="00D121EA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1065D" w:rsidRDefault="00D121EA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105AF7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533EF" w:rsidRDefault="008533EF" w:rsidP="00AF3F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533EF" w:rsidRDefault="008533EF" w:rsidP="00AF3F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</w:t>
            </w:r>
          </w:p>
          <w:p w:rsidR="00F87EB4" w:rsidRPr="00AA7D72" w:rsidRDefault="00F87EB4" w:rsidP="00AF3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8533EF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201</w:t>
            </w:r>
            <w:r w:rsidR="00AF3FBC">
              <w:rPr>
                <w:sz w:val="28"/>
                <w:szCs w:val="28"/>
                <w:lang w:eastAsia="en-US"/>
              </w:rPr>
              <w:t>9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8533EF" w:rsidRPr="008533EF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8533EF">
              <w:rPr>
                <w:sz w:val="28"/>
                <w:szCs w:val="28"/>
                <w:lang w:eastAsia="en-US"/>
              </w:rPr>
              <w:t>октября</w:t>
            </w:r>
            <w:bookmarkStart w:id="0" w:name="_GoBack"/>
            <w:bookmarkEnd w:id="0"/>
            <w:r w:rsidRPr="004E5CFD">
              <w:rPr>
                <w:sz w:val="28"/>
                <w:szCs w:val="28"/>
                <w:lang w:eastAsia="en-US"/>
              </w:rPr>
              <w:t xml:space="preserve"> 201</w:t>
            </w:r>
            <w:r w:rsidR="00AF3FBC">
              <w:rPr>
                <w:sz w:val="28"/>
                <w:szCs w:val="28"/>
                <w:lang w:eastAsia="en-US"/>
              </w:rPr>
              <w:t>9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105AF7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14596C" w:rsidP="004E5CFD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2A365E" w:rsidRDefault="0014596C" w:rsidP="003C24D3">
      <w:pPr>
        <w:autoSpaceDE w:val="0"/>
        <w:autoSpaceDN w:val="0"/>
        <w:adjustRightInd w:val="0"/>
        <w:ind w:firstLine="539"/>
        <w:outlineLvl w:val="0"/>
        <w:rPr>
          <w:lang w:eastAsia="en-US"/>
        </w:rPr>
      </w:pPr>
    </w:p>
    <w:p w:rsidR="0014596C" w:rsidRPr="002A365E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4596C" w:rsidRPr="002A365E" w:rsidSect="0005656D">
      <w:pgSz w:w="16838" w:h="11906" w:orient="landscape"/>
      <w:pgMar w:top="113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F7" w:rsidRDefault="00105AF7" w:rsidP="00B856D8">
      <w:r>
        <w:separator/>
      </w:r>
    </w:p>
  </w:endnote>
  <w:endnote w:type="continuationSeparator" w:id="0">
    <w:p w:rsidR="00105AF7" w:rsidRDefault="00105AF7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F7" w:rsidRDefault="00105AF7" w:rsidP="00B856D8">
      <w:r>
        <w:separator/>
      </w:r>
    </w:p>
  </w:footnote>
  <w:footnote w:type="continuationSeparator" w:id="0">
    <w:p w:rsidR="00105AF7" w:rsidRDefault="00105AF7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AF7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E1CA0"/>
    <w:rsid w:val="002F046A"/>
    <w:rsid w:val="002F6D84"/>
    <w:rsid w:val="002F7966"/>
    <w:rsid w:val="0031065D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57A6B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3EF"/>
    <w:rsid w:val="00853F1F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3BE9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121EA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D4B2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532DC"/>
    <w:rsid w:val="00E57023"/>
    <w:rsid w:val="00E63F61"/>
    <w:rsid w:val="00E6409A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87EB4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DFFA7-0ADE-43D5-916F-733CCA6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4FB2-C562-40DB-9570-D0B963A0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2019-09-30T11:29:00Z</cp:lastPrinted>
  <dcterms:created xsi:type="dcterms:W3CDTF">2018-02-24T09:39:00Z</dcterms:created>
  <dcterms:modified xsi:type="dcterms:W3CDTF">2019-09-30T11:29:00Z</dcterms:modified>
</cp:coreProperties>
</file>